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DD6" w:rsidRDefault="00ED60C6" w:rsidP="00ED60C6">
      <w:pPr>
        <w:spacing w:line="240" w:lineRule="auto"/>
        <w:ind w:left="-540"/>
        <w:rPr>
          <w:color w:val="E36C0A" w:themeColor="accent6" w:themeShade="BF"/>
          <w:sz w:val="24"/>
          <w:szCs w:val="24"/>
        </w:rPr>
      </w:pPr>
      <w:r>
        <w:rPr>
          <w:noProof/>
          <w:color w:val="E36C0A" w:themeColor="accent6" w:themeShade="BF"/>
          <w:sz w:val="24"/>
          <w:szCs w:val="24"/>
        </w:rPr>
        <w:drawing>
          <wp:inline distT="0" distB="0" distL="0" distR="0">
            <wp:extent cx="1905000" cy="295275"/>
            <wp:effectExtent l="0" t="0" r="0" b="9525"/>
            <wp:docPr id="1" name="Picture 1" descr="C:\Users\Jim\Desktop\Logos for Singnature line\landlord logo ti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m\Desktop\Logos for Singnature line\landlord logo tin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295275"/>
                    </a:xfrm>
                    <a:prstGeom prst="rect">
                      <a:avLst/>
                    </a:prstGeom>
                    <a:noFill/>
                    <a:ln>
                      <a:noFill/>
                    </a:ln>
                  </pic:spPr>
                </pic:pic>
              </a:graphicData>
            </a:graphic>
          </wp:inline>
        </w:drawing>
      </w:r>
    </w:p>
    <w:p w:rsidR="00297AA7" w:rsidRDefault="00297AA7" w:rsidP="00C50D1C">
      <w:pPr>
        <w:spacing w:line="240" w:lineRule="auto"/>
        <w:jc w:val="center"/>
        <w:rPr>
          <w:color w:val="E36C0A" w:themeColor="accent6" w:themeShade="BF"/>
          <w:sz w:val="64"/>
          <w:szCs w:val="64"/>
        </w:rPr>
      </w:pPr>
      <w:r>
        <w:rPr>
          <w:color w:val="E36C0A" w:themeColor="accent6" w:themeShade="BF"/>
          <w:sz w:val="64"/>
          <w:szCs w:val="64"/>
        </w:rPr>
        <w:t xml:space="preserve">Washington State </w:t>
      </w:r>
    </w:p>
    <w:p w:rsidR="00C50D1C" w:rsidRDefault="00C50D1C" w:rsidP="00C50D1C">
      <w:pPr>
        <w:spacing w:line="240" w:lineRule="auto"/>
        <w:jc w:val="center"/>
        <w:rPr>
          <w:color w:val="E36C0A" w:themeColor="accent6" w:themeShade="BF"/>
          <w:sz w:val="24"/>
          <w:szCs w:val="24"/>
        </w:rPr>
      </w:pPr>
      <w:r>
        <w:rPr>
          <w:color w:val="E36C0A" w:themeColor="accent6" w:themeShade="BF"/>
          <w:sz w:val="64"/>
          <w:szCs w:val="64"/>
        </w:rPr>
        <w:t>Legislative Update</w:t>
      </w:r>
    </w:p>
    <w:p w:rsidR="00C50D1C" w:rsidRDefault="008A61AC" w:rsidP="00C50D1C">
      <w:pPr>
        <w:jc w:val="center"/>
        <w:rPr>
          <w:color w:val="E36C0A" w:themeColor="accent6" w:themeShade="BF"/>
          <w:sz w:val="32"/>
          <w:szCs w:val="32"/>
        </w:rPr>
      </w:pPr>
      <w:r>
        <w:rPr>
          <w:color w:val="E36C0A" w:themeColor="accent6" w:themeShade="BF"/>
          <w:sz w:val="32"/>
          <w:szCs w:val="32"/>
        </w:rPr>
        <w:t>As of February 26</w:t>
      </w:r>
      <w:r w:rsidR="00A326BF">
        <w:rPr>
          <w:color w:val="E36C0A" w:themeColor="accent6" w:themeShade="BF"/>
          <w:sz w:val="32"/>
          <w:szCs w:val="32"/>
        </w:rPr>
        <w:t>, 2018</w:t>
      </w:r>
    </w:p>
    <w:p w:rsidR="00C50D1C" w:rsidRPr="00C50D1C" w:rsidRDefault="00EC64EC" w:rsidP="00C50D1C">
      <w:pPr>
        <w:ind w:left="-90"/>
        <w:rPr>
          <w:color w:val="E36C0A" w:themeColor="accent6" w:themeShade="BF"/>
          <w:sz w:val="32"/>
          <w:szCs w:val="32"/>
        </w:rPr>
      </w:pPr>
      <w:hyperlink r:id="rId7" w:history="1">
        <w:r w:rsidR="00C50D1C" w:rsidRPr="00BF7F6A">
          <w:rPr>
            <w:rStyle w:val="Hyperlink"/>
          </w:rPr>
          <w:t>http://apps.leg.wa.gov/billinfo/</w:t>
        </w:r>
      </w:hyperlink>
    </w:p>
    <w:tbl>
      <w:tblPr>
        <w:tblStyle w:val="TableGrid"/>
        <w:tblW w:w="0" w:type="auto"/>
        <w:tblLook w:val="04A0" w:firstRow="1" w:lastRow="0" w:firstColumn="1" w:lastColumn="0" w:noHBand="0" w:noVBand="1"/>
      </w:tblPr>
      <w:tblGrid>
        <w:gridCol w:w="1194"/>
        <w:gridCol w:w="3691"/>
        <w:gridCol w:w="1073"/>
        <w:gridCol w:w="3618"/>
      </w:tblGrid>
      <w:tr w:rsidR="009E7EEB" w:rsidTr="003820EC">
        <w:tc>
          <w:tcPr>
            <w:tcW w:w="1194" w:type="dxa"/>
          </w:tcPr>
          <w:p w:rsidR="009E7EEB" w:rsidRDefault="009E7EEB">
            <w:r>
              <w:t>HB/SB</w:t>
            </w:r>
          </w:p>
        </w:tc>
        <w:tc>
          <w:tcPr>
            <w:tcW w:w="3691" w:type="dxa"/>
          </w:tcPr>
          <w:p w:rsidR="009E7EEB" w:rsidRDefault="009E7EEB">
            <w:r>
              <w:t>Name</w:t>
            </w:r>
          </w:p>
        </w:tc>
        <w:tc>
          <w:tcPr>
            <w:tcW w:w="1073" w:type="dxa"/>
          </w:tcPr>
          <w:p w:rsidR="009E7EEB" w:rsidRDefault="009E7EEB">
            <w:r>
              <w:t>Position</w:t>
            </w:r>
          </w:p>
        </w:tc>
        <w:tc>
          <w:tcPr>
            <w:tcW w:w="3618" w:type="dxa"/>
          </w:tcPr>
          <w:p w:rsidR="009E7EEB" w:rsidRDefault="009E7EEB">
            <w:r>
              <w:t>Status</w:t>
            </w:r>
          </w:p>
        </w:tc>
      </w:tr>
      <w:tr w:rsidR="009E7EEB" w:rsidTr="003820EC">
        <w:tc>
          <w:tcPr>
            <w:tcW w:w="1194" w:type="dxa"/>
          </w:tcPr>
          <w:p w:rsidR="009E7EEB" w:rsidRDefault="00EC64EC">
            <w:hyperlink r:id="rId8" w:history="1">
              <w:r w:rsidR="009E7EEB" w:rsidRPr="003820EC">
                <w:rPr>
                  <w:rStyle w:val="Hyperlink"/>
                </w:rPr>
                <w:t>1633/5407</w:t>
              </w:r>
            </w:hyperlink>
          </w:p>
        </w:tc>
        <w:tc>
          <w:tcPr>
            <w:tcW w:w="3691" w:type="dxa"/>
          </w:tcPr>
          <w:p w:rsidR="009E7EEB" w:rsidRDefault="009E7EEB">
            <w:r>
              <w:t>Source of Income protected class</w:t>
            </w:r>
          </w:p>
        </w:tc>
        <w:tc>
          <w:tcPr>
            <w:tcW w:w="1073" w:type="dxa"/>
          </w:tcPr>
          <w:p w:rsidR="009E7EEB" w:rsidRPr="00171AF8" w:rsidRDefault="009E7EEB">
            <w:pPr>
              <w:rPr>
                <w:b/>
              </w:rPr>
            </w:pPr>
            <w:r w:rsidRPr="00171AF8">
              <w:rPr>
                <w:b/>
              </w:rPr>
              <w:t>Oppose</w:t>
            </w:r>
          </w:p>
        </w:tc>
        <w:tc>
          <w:tcPr>
            <w:tcW w:w="3618" w:type="dxa"/>
          </w:tcPr>
          <w:p w:rsidR="00A326BF" w:rsidRDefault="008A61AC" w:rsidP="003820EC">
            <w:r>
              <w:t>SB – passed, introduced in the house</w:t>
            </w:r>
          </w:p>
          <w:p w:rsidR="009E7EEB" w:rsidRDefault="008A61AC">
            <w:r>
              <w:t>HB - dead</w:t>
            </w:r>
          </w:p>
        </w:tc>
      </w:tr>
      <w:tr w:rsidR="009E7EEB" w:rsidTr="003820EC">
        <w:tc>
          <w:tcPr>
            <w:tcW w:w="1194" w:type="dxa"/>
          </w:tcPr>
          <w:p w:rsidR="009E7EEB" w:rsidRDefault="00EC64EC">
            <w:hyperlink r:id="rId9" w:history="1">
              <w:r w:rsidR="003820EC" w:rsidRPr="003820EC">
                <w:rPr>
                  <w:rStyle w:val="Hyperlink"/>
                </w:rPr>
                <w:t>1305/5388</w:t>
              </w:r>
            </w:hyperlink>
          </w:p>
        </w:tc>
        <w:tc>
          <w:tcPr>
            <w:tcW w:w="3691" w:type="dxa"/>
          </w:tcPr>
          <w:p w:rsidR="009E7EEB" w:rsidRDefault="003820EC">
            <w:r>
              <w:t>Removal of Unlawful Occupants</w:t>
            </w:r>
          </w:p>
          <w:p w:rsidR="00C025BC" w:rsidRDefault="00C025BC">
            <w:r>
              <w:t>*Trespasser</w:t>
            </w:r>
          </w:p>
          <w:p w:rsidR="00C025BC" w:rsidRDefault="00C025BC">
            <w:r>
              <w:t>*Declaration</w:t>
            </w:r>
          </w:p>
        </w:tc>
        <w:tc>
          <w:tcPr>
            <w:tcW w:w="1073" w:type="dxa"/>
          </w:tcPr>
          <w:p w:rsidR="009E7EEB" w:rsidRPr="00592F22" w:rsidRDefault="003820EC">
            <w:pPr>
              <w:rPr>
                <w:highlight w:val="yellow"/>
              </w:rPr>
            </w:pPr>
            <w:r w:rsidRPr="00592F22">
              <w:rPr>
                <w:highlight w:val="yellow"/>
              </w:rPr>
              <w:t>Support</w:t>
            </w:r>
          </w:p>
        </w:tc>
        <w:tc>
          <w:tcPr>
            <w:tcW w:w="3618" w:type="dxa"/>
          </w:tcPr>
          <w:p w:rsidR="00263881" w:rsidRDefault="008A61AC" w:rsidP="00B2209B">
            <w:r>
              <w:t>HB - dead</w:t>
            </w:r>
          </w:p>
        </w:tc>
      </w:tr>
      <w:tr w:rsidR="009E7EEB" w:rsidTr="003820EC">
        <w:tc>
          <w:tcPr>
            <w:tcW w:w="1194" w:type="dxa"/>
          </w:tcPr>
          <w:p w:rsidR="009E7EEB" w:rsidRDefault="008A61AC" w:rsidP="008A61AC">
            <w:r>
              <w:rPr>
                <w:rStyle w:val="Hyperlink"/>
              </w:rPr>
              <w:t>2040</w:t>
            </w:r>
            <w:r>
              <w:rPr>
                <w:rStyle w:val="Hyperlink"/>
              </w:rPr>
              <w:t>/</w:t>
            </w:r>
            <w:hyperlink r:id="rId10" w:history="1">
              <w:r w:rsidR="00843056" w:rsidRPr="00843056">
                <w:rPr>
                  <w:rStyle w:val="Hyperlink"/>
                </w:rPr>
                <w:t>5408</w:t>
              </w:r>
            </w:hyperlink>
          </w:p>
        </w:tc>
        <w:tc>
          <w:tcPr>
            <w:tcW w:w="3691" w:type="dxa"/>
          </w:tcPr>
          <w:p w:rsidR="009E7EEB" w:rsidRDefault="00843056">
            <w:r>
              <w:t>Notice of Termination of Rental</w:t>
            </w:r>
          </w:p>
          <w:p w:rsidR="00692887" w:rsidRDefault="00692887" w:rsidP="00692887">
            <w:r>
              <w:t>*20 to 30 days</w:t>
            </w:r>
          </w:p>
          <w:p w:rsidR="00692887" w:rsidRDefault="00692887" w:rsidP="00692887">
            <w:r>
              <w:t>*60 days removed</w:t>
            </w:r>
          </w:p>
          <w:p w:rsidR="00700C18" w:rsidRDefault="00700C18" w:rsidP="00692887">
            <w:r>
              <w:t>*Agreed between L and T</w:t>
            </w:r>
          </w:p>
        </w:tc>
        <w:tc>
          <w:tcPr>
            <w:tcW w:w="1073" w:type="dxa"/>
          </w:tcPr>
          <w:p w:rsidR="009E7EEB" w:rsidRPr="00592F22" w:rsidRDefault="00700C18">
            <w:pPr>
              <w:rPr>
                <w:highlight w:val="red"/>
              </w:rPr>
            </w:pPr>
            <w:r w:rsidRPr="00592F22">
              <w:rPr>
                <w:highlight w:val="red"/>
              </w:rPr>
              <w:t>Agreed</w:t>
            </w:r>
          </w:p>
          <w:p w:rsidR="00700C18" w:rsidRDefault="00700C18">
            <w:r w:rsidRPr="00592F22">
              <w:rPr>
                <w:highlight w:val="red"/>
              </w:rPr>
              <w:t>w/ concerns</w:t>
            </w:r>
          </w:p>
        </w:tc>
        <w:tc>
          <w:tcPr>
            <w:tcW w:w="3618" w:type="dxa"/>
          </w:tcPr>
          <w:p w:rsidR="009E7EEB" w:rsidRDefault="008A61AC" w:rsidP="00297AA7">
            <w:r>
              <w:t>SB- passed, introduced in the house</w:t>
            </w:r>
          </w:p>
          <w:p w:rsidR="008A61AC" w:rsidRDefault="008A61AC" w:rsidP="00297AA7">
            <w:r>
              <w:t>HB - dead</w:t>
            </w:r>
          </w:p>
        </w:tc>
      </w:tr>
      <w:tr w:rsidR="009E7EEB" w:rsidTr="003820EC">
        <w:tc>
          <w:tcPr>
            <w:tcW w:w="1194" w:type="dxa"/>
          </w:tcPr>
          <w:p w:rsidR="009E7EEB" w:rsidRDefault="00EC64EC">
            <w:hyperlink r:id="rId11" w:history="1">
              <w:r w:rsidR="00692887" w:rsidRPr="00E1032D">
                <w:rPr>
                  <w:rStyle w:val="Hyperlink"/>
                </w:rPr>
                <w:t>1635/5013</w:t>
              </w:r>
            </w:hyperlink>
          </w:p>
        </w:tc>
        <w:tc>
          <w:tcPr>
            <w:tcW w:w="3691" w:type="dxa"/>
          </w:tcPr>
          <w:p w:rsidR="009E7EEB" w:rsidRDefault="00692887">
            <w:r>
              <w:t>Disposition of Tenant Property</w:t>
            </w:r>
          </w:p>
          <w:p w:rsidR="00692887" w:rsidRDefault="00692887">
            <w:r>
              <w:t>*dispose of property after 5 days  after physical evict</w:t>
            </w:r>
          </w:p>
        </w:tc>
        <w:tc>
          <w:tcPr>
            <w:tcW w:w="1073" w:type="dxa"/>
          </w:tcPr>
          <w:p w:rsidR="009E7EEB" w:rsidRPr="00592F22" w:rsidRDefault="00692887">
            <w:pPr>
              <w:rPr>
                <w:highlight w:val="yellow"/>
              </w:rPr>
            </w:pPr>
            <w:r w:rsidRPr="00592F22">
              <w:rPr>
                <w:highlight w:val="yellow"/>
              </w:rPr>
              <w:t>Support</w:t>
            </w:r>
          </w:p>
        </w:tc>
        <w:tc>
          <w:tcPr>
            <w:tcW w:w="3618" w:type="dxa"/>
          </w:tcPr>
          <w:p w:rsidR="008A61AC" w:rsidRDefault="008A61AC" w:rsidP="00A326BF">
            <w:r>
              <w:t>SB - dead</w:t>
            </w:r>
          </w:p>
          <w:p w:rsidR="009E7EEB" w:rsidRDefault="008A61AC" w:rsidP="00A326BF">
            <w:r>
              <w:t>HB - dead</w:t>
            </w:r>
          </w:p>
        </w:tc>
      </w:tr>
      <w:tr w:rsidR="009E7EEB" w:rsidTr="003820EC">
        <w:tc>
          <w:tcPr>
            <w:tcW w:w="1194" w:type="dxa"/>
          </w:tcPr>
          <w:p w:rsidR="009E7EEB" w:rsidRDefault="00EC64EC">
            <w:hyperlink r:id="rId12" w:history="1">
              <w:r w:rsidR="00E1032D" w:rsidRPr="005B500B">
                <w:rPr>
                  <w:rStyle w:val="Hyperlink"/>
                </w:rPr>
                <w:t>5015</w:t>
              </w:r>
            </w:hyperlink>
          </w:p>
        </w:tc>
        <w:tc>
          <w:tcPr>
            <w:tcW w:w="3691" w:type="dxa"/>
          </w:tcPr>
          <w:p w:rsidR="009E7EEB" w:rsidRDefault="00E1032D">
            <w:r>
              <w:t>At-Will Tenancy Evictions</w:t>
            </w:r>
          </w:p>
          <w:p w:rsidR="00254C33" w:rsidRDefault="00254C33" w:rsidP="00254C33">
            <w:r>
              <w:t xml:space="preserve">20-day notice w/o rental amount or period </w:t>
            </w:r>
          </w:p>
        </w:tc>
        <w:tc>
          <w:tcPr>
            <w:tcW w:w="1073" w:type="dxa"/>
          </w:tcPr>
          <w:p w:rsidR="009E7EEB" w:rsidRDefault="00E1032D">
            <w:r w:rsidRPr="00592F22">
              <w:rPr>
                <w:highlight w:val="yellow"/>
              </w:rPr>
              <w:t>Support</w:t>
            </w:r>
          </w:p>
        </w:tc>
        <w:tc>
          <w:tcPr>
            <w:tcW w:w="3618" w:type="dxa"/>
          </w:tcPr>
          <w:p w:rsidR="009E7EEB" w:rsidRDefault="008A61AC" w:rsidP="00297AA7">
            <w:r>
              <w:t>SB - dead</w:t>
            </w:r>
          </w:p>
        </w:tc>
      </w:tr>
      <w:tr w:rsidR="009E7EEB" w:rsidTr="003820EC">
        <w:tc>
          <w:tcPr>
            <w:tcW w:w="1194" w:type="dxa"/>
          </w:tcPr>
          <w:p w:rsidR="009E7EEB" w:rsidRDefault="00EC64EC">
            <w:hyperlink r:id="rId13" w:history="1">
              <w:r w:rsidR="005B500B" w:rsidRPr="005B500B">
                <w:rPr>
                  <w:rStyle w:val="Hyperlink"/>
                </w:rPr>
                <w:t>1570</w:t>
              </w:r>
            </w:hyperlink>
          </w:p>
        </w:tc>
        <w:tc>
          <w:tcPr>
            <w:tcW w:w="3691" w:type="dxa"/>
          </w:tcPr>
          <w:p w:rsidR="009E7EEB" w:rsidRDefault="005B500B">
            <w:r>
              <w:t>Auditors Filing Fee Increase</w:t>
            </w:r>
            <w:r w:rsidR="00254C33">
              <w:t xml:space="preserve"> of $40.00</w:t>
            </w:r>
          </w:p>
          <w:p w:rsidR="00254C33" w:rsidRDefault="00254C33">
            <w:r>
              <w:t>Money to be used for expanding access to homeless housing and assistance.</w:t>
            </w:r>
          </w:p>
          <w:p w:rsidR="00254C33" w:rsidRDefault="00254C33">
            <w:r>
              <w:t>Counties may change an additional surcharge of $50 for each document filed</w:t>
            </w:r>
          </w:p>
          <w:p w:rsidR="00254C33" w:rsidRDefault="00254C33"/>
        </w:tc>
        <w:tc>
          <w:tcPr>
            <w:tcW w:w="1073" w:type="dxa"/>
          </w:tcPr>
          <w:p w:rsidR="009E7EEB" w:rsidRPr="00171AF8" w:rsidRDefault="005B500B">
            <w:pPr>
              <w:rPr>
                <w:b/>
              </w:rPr>
            </w:pPr>
            <w:r w:rsidRPr="00171AF8">
              <w:rPr>
                <w:b/>
              </w:rPr>
              <w:t>Oppose</w:t>
            </w:r>
          </w:p>
        </w:tc>
        <w:tc>
          <w:tcPr>
            <w:tcW w:w="3618" w:type="dxa"/>
          </w:tcPr>
          <w:p w:rsidR="00BF03F4" w:rsidRDefault="008A61AC" w:rsidP="00A326BF">
            <w:r>
              <w:t>HB – passed, introduced in the Senate</w:t>
            </w:r>
          </w:p>
          <w:p w:rsidR="009E7EEB" w:rsidRDefault="009E7EEB"/>
        </w:tc>
      </w:tr>
      <w:tr w:rsidR="00867916" w:rsidTr="00C025BC">
        <w:tc>
          <w:tcPr>
            <w:tcW w:w="1194" w:type="dxa"/>
          </w:tcPr>
          <w:p w:rsidR="00867916" w:rsidRDefault="00EC64EC" w:rsidP="004E39E9">
            <w:hyperlink r:id="rId14" w:history="1">
              <w:r w:rsidR="00867916" w:rsidRPr="00C025BC">
                <w:rPr>
                  <w:rStyle w:val="Hyperlink"/>
                </w:rPr>
                <w:t>5569</w:t>
              </w:r>
            </w:hyperlink>
          </w:p>
        </w:tc>
        <w:tc>
          <w:tcPr>
            <w:tcW w:w="3691" w:type="dxa"/>
          </w:tcPr>
          <w:p w:rsidR="00867916" w:rsidRDefault="00867916" w:rsidP="004E39E9">
            <w:r>
              <w:t>Preemption of Protected Classes in Housing</w:t>
            </w:r>
          </w:p>
        </w:tc>
        <w:tc>
          <w:tcPr>
            <w:tcW w:w="1073" w:type="dxa"/>
          </w:tcPr>
          <w:p w:rsidR="00867916" w:rsidRPr="00254C33" w:rsidRDefault="00867916" w:rsidP="004E39E9">
            <w:r w:rsidRPr="00592F22">
              <w:rPr>
                <w:highlight w:val="yellow"/>
              </w:rPr>
              <w:t>Support</w:t>
            </w:r>
          </w:p>
        </w:tc>
        <w:tc>
          <w:tcPr>
            <w:tcW w:w="3618" w:type="dxa"/>
          </w:tcPr>
          <w:p w:rsidR="00A326BF" w:rsidRDefault="008A61AC" w:rsidP="00A326BF">
            <w:r>
              <w:t>SB - dead</w:t>
            </w:r>
          </w:p>
          <w:p w:rsidR="00867916" w:rsidRDefault="00867916" w:rsidP="00D7200F"/>
        </w:tc>
      </w:tr>
      <w:tr w:rsidR="00A326BF" w:rsidTr="00C025BC">
        <w:tc>
          <w:tcPr>
            <w:tcW w:w="1194" w:type="dxa"/>
          </w:tcPr>
          <w:p w:rsidR="00A326BF" w:rsidRDefault="00EC64EC" w:rsidP="004E39E9">
            <w:hyperlink r:id="rId15" w:history="1">
              <w:r w:rsidR="00171AF8" w:rsidRPr="00171AF8">
                <w:rPr>
                  <w:rStyle w:val="Hyperlink"/>
                </w:rPr>
                <w:t>2583</w:t>
              </w:r>
            </w:hyperlink>
            <w:r w:rsidR="00171AF8">
              <w:t>/</w:t>
            </w:r>
            <w:hyperlink r:id="rId16" w:history="1">
              <w:r w:rsidR="00171AF8" w:rsidRPr="00171AF8">
                <w:rPr>
                  <w:rStyle w:val="Hyperlink"/>
                </w:rPr>
                <w:t>6400</w:t>
              </w:r>
            </w:hyperlink>
          </w:p>
        </w:tc>
        <w:tc>
          <w:tcPr>
            <w:tcW w:w="3691" w:type="dxa"/>
          </w:tcPr>
          <w:p w:rsidR="00A326BF" w:rsidRDefault="00171AF8" w:rsidP="004E39E9">
            <w:r>
              <w:t>Rent Control</w:t>
            </w:r>
          </w:p>
        </w:tc>
        <w:tc>
          <w:tcPr>
            <w:tcW w:w="1073" w:type="dxa"/>
          </w:tcPr>
          <w:p w:rsidR="00A326BF" w:rsidRPr="00BA34BB" w:rsidRDefault="00171AF8" w:rsidP="004E39E9">
            <w:pPr>
              <w:rPr>
                <w:b/>
              </w:rPr>
            </w:pPr>
            <w:r>
              <w:rPr>
                <w:b/>
              </w:rPr>
              <w:t>Oppose</w:t>
            </w:r>
          </w:p>
        </w:tc>
        <w:tc>
          <w:tcPr>
            <w:tcW w:w="3618" w:type="dxa"/>
          </w:tcPr>
          <w:p w:rsidR="000849F2" w:rsidRDefault="008A61AC" w:rsidP="00A326BF">
            <w:r>
              <w:t>HB – dead</w:t>
            </w:r>
          </w:p>
          <w:p w:rsidR="008A61AC" w:rsidRDefault="008A61AC" w:rsidP="00A326BF">
            <w:r>
              <w:t>SB - dead</w:t>
            </w:r>
          </w:p>
          <w:p w:rsidR="00171AF8" w:rsidRDefault="00171AF8" w:rsidP="00A326BF"/>
        </w:tc>
      </w:tr>
    </w:tbl>
    <w:p w:rsidR="00BE4F39" w:rsidRPr="00BE4F39" w:rsidRDefault="00BE4F39" w:rsidP="00BE4F39">
      <w:pPr>
        <w:spacing w:line="240" w:lineRule="auto"/>
        <w:jc w:val="center"/>
        <w:rPr>
          <w:color w:val="E36C0A" w:themeColor="accent6" w:themeShade="BF"/>
          <w:sz w:val="24"/>
          <w:szCs w:val="24"/>
        </w:rPr>
      </w:pPr>
    </w:p>
    <w:p w:rsidR="00BE4F39" w:rsidRPr="00BE4F39" w:rsidRDefault="00BE4F39" w:rsidP="00BE4F39">
      <w:pPr>
        <w:spacing w:line="240" w:lineRule="auto"/>
        <w:jc w:val="center"/>
        <w:rPr>
          <w:color w:val="E36C0A" w:themeColor="accent6" w:themeShade="BF"/>
          <w:sz w:val="40"/>
          <w:szCs w:val="40"/>
        </w:rPr>
      </w:pPr>
      <w:r w:rsidRPr="00BE4F39">
        <w:rPr>
          <w:color w:val="E36C0A" w:themeColor="accent6" w:themeShade="BF"/>
          <w:sz w:val="40"/>
          <w:szCs w:val="40"/>
        </w:rPr>
        <w:t>SCHEDULE</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68"/>
        <w:gridCol w:w="7308"/>
      </w:tblGrid>
      <w:tr w:rsidR="009D703D" w:rsidTr="009D703D">
        <w:tc>
          <w:tcPr>
            <w:tcW w:w="2268" w:type="dxa"/>
          </w:tcPr>
          <w:p w:rsidR="009D703D" w:rsidRDefault="002D3D25">
            <w:r>
              <w:t>February 2, 2018</w:t>
            </w:r>
          </w:p>
        </w:tc>
        <w:tc>
          <w:tcPr>
            <w:tcW w:w="7308" w:type="dxa"/>
          </w:tcPr>
          <w:p w:rsidR="009D703D" w:rsidRDefault="009D703D">
            <w:r>
              <w:t>Last day to read in committee reports (pass bills out of committee and read them into the record on the floor) in house of origin, except House fiscal committees and Senate Ways and Means and Transportation committees.</w:t>
            </w:r>
          </w:p>
          <w:p w:rsidR="009D703D" w:rsidRDefault="009D703D"/>
        </w:tc>
      </w:tr>
      <w:tr w:rsidR="009D703D" w:rsidTr="009D703D">
        <w:tc>
          <w:tcPr>
            <w:tcW w:w="2268" w:type="dxa"/>
          </w:tcPr>
          <w:p w:rsidR="009D703D" w:rsidRDefault="002D3D25">
            <w:r>
              <w:lastRenderedPageBreak/>
              <w:t>February 6, 2018</w:t>
            </w:r>
          </w:p>
        </w:tc>
        <w:tc>
          <w:tcPr>
            <w:tcW w:w="7308" w:type="dxa"/>
          </w:tcPr>
          <w:p w:rsidR="009D703D" w:rsidRDefault="009D703D" w:rsidP="009D703D">
            <w:r>
              <w:t>Last day to read in committee reports (pass bills out of committee and read them into the record on the floor) from House fiscal committees and Senate Ways and Means and Transportation committees.</w:t>
            </w:r>
          </w:p>
          <w:p w:rsidR="009D703D" w:rsidRDefault="009D703D"/>
        </w:tc>
      </w:tr>
      <w:tr w:rsidR="009D703D" w:rsidTr="009D703D">
        <w:tc>
          <w:tcPr>
            <w:tcW w:w="2268" w:type="dxa"/>
          </w:tcPr>
          <w:p w:rsidR="009D703D" w:rsidRDefault="002D3D25">
            <w:r>
              <w:t>February 14, 2018</w:t>
            </w:r>
          </w:p>
        </w:tc>
        <w:tc>
          <w:tcPr>
            <w:tcW w:w="7308" w:type="dxa"/>
          </w:tcPr>
          <w:p w:rsidR="009D703D" w:rsidRDefault="009D703D">
            <w:r>
              <w:t>Last day to consider (pass) bills in house of origin (5pm)</w:t>
            </w:r>
          </w:p>
          <w:p w:rsidR="009D703D" w:rsidRDefault="009D703D"/>
        </w:tc>
      </w:tr>
      <w:tr w:rsidR="009D703D" w:rsidTr="009D703D">
        <w:tc>
          <w:tcPr>
            <w:tcW w:w="2268" w:type="dxa"/>
          </w:tcPr>
          <w:p w:rsidR="009D703D" w:rsidRDefault="002D3D25">
            <w:bookmarkStart w:id="0" w:name="_GoBack" w:colFirst="0" w:colLast="1"/>
            <w:r>
              <w:t>February 23, 2018</w:t>
            </w:r>
          </w:p>
        </w:tc>
        <w:tc>
          <w:tcPr>
            <w:tcW w:w="7308" w:type="dxa"/>
          </w:tcPr>
          <w:p w:rsidR="009D703D" w:rsidRDefault="009D703D" w:rsidP="009D703D">
            <w:r>
              <w:t>Last day to read in committee reports (pass bills out of committee and read them into the record on the floor) from opposite house, except House fiscal committees and Senate Ways and Means and Transportation committees.</w:t>
            </w:r>
          </w:p>
          <w:p w:rsidR="009D703D" w:rsidRDefault="009D703D" w:rsidP="009D703D"/>
        </w:tc>
      </w:tr>
      <w:tr w:rsidR="009D703D" w:rsidTr="009D703D">
        <w:tc>
          <w:tcPr>
            <w:tcW w:w="2268" w:type="dxa"/>
          </w:tcPr>
          <w:p w:rsidR="009D703D" w:rsidRDefault="002D3D25">
            <w:r>
              <w:t>February 26, 2018</w:t>
            </w:r>
          </w:p>
        </w:tc>
        <w:tc>
          <w:tcPr>
            <w:tcW w:w="7308" w:type="dxa"/>
          </w:tcPr>
          <w:p w:rsidR="009D703D" w:rsidRDefault="009D703D" w:rsidP="004E39E9">
            <w:r>
              <w:t>Last day to read in opposite house committee reports (pass bills out of committee and read them into the record on the floor) from House fiscal committees and Senate Ways and Means and Transportation committees.</w:t>
            </w:r>
          </w:p>
          <w:p w:rsidR="009D703D" w:rsidRDefault="009D703D" w:rsidP="004E39E9"/>
        </w:tc>
      </w:tr>
      <w:tr w:rsidR="009D703D" w:rsidTr="009D703D">
        <w:tc>
          <w:tcPr>
            <w:tcW w:w="2268" w:type="dxa"/>
          </w:tcPr>
          <w:p w:rsidR="009D703D" w:rsidRDefault="002D3D25">
            <w:r>
              <w:t>March 2, 2018</w:t>
            </w:r>
          </w:p>
        </w:tc>
        <w:tc>
          <w:tcPr>
            <w:tcW w:w="7308" w:type="dxa"/>
          </w:tcPr>
          <w:p w:rsidR="009D703D" w:rsidRDefault="009D703D" w:rsidP="009D703D">
            <w:r>
              <w:t>Last day to consider (pass) opposite house bills (5pm)</w:t>
            </w:r>
          </w:p>
          <w:p w:rsidR="009D703D" w:rsidRDefault="009D703D" w:rsidP="009D703D"/>
        </w:tc>
      </w:tr>
      <w:bookmarkEnd w:id="0"/>
      <w:tr w:rsidR="009D703D" w:rsidTr="009D703D">
        <w:tc>
          <w:tcPr>
            <w:tcW w:w="2268" w:type="dxa"/>
          </w:tcPr>
          <w:p w:rsidR="009D703D" w:rsidRDefault="002D3D25" w:rsidP="004E39E9">
            <w:r>
              <w:t>March 8, 2018</w:t>
            </w:r>
          </w:p>
        </w:tc>
        <w:tc>
          <w:tcPr>
            <w:tcW w:w="7308" w:type="dxa"/>
          </w:tcPr>
          <w:p w:rsidR="009D703D" w:rsidRDefault="009D703D" w:rsidP="004E39E9">
            <w:r>
              <w:t>Last day allowed for regular session under state constitution – unless a Special Session is called.</w:t>
            </w:r>
          </w:p>
          <w:p w:rsidR="009D703D" w:rsidRDefault="009D703D" w:rsidP="004E39E9"/>
        </w:tc>
      </w:tr>
      <w:tr w:rsidR="009D703D" w:rsidTr="009D703D">
        <w:tc>
          <w:tcPr>
            <w:tcW w:w="2268" w:type="dxa"/>
          </w:tcPr>
          <w:p w:rsidR="009D703D" w:rsidRDefault="009D703D" w:rsidP="004E39E9"/>
        </w:tc>
        <w:tc>
          <w:tcPr>
            <w:tcW w:w="7308" w:type="dxa"/>
          </w:tcPr>
          <w:p w:rsidR="009D703D" w:rsidRDefault="009D703D" w:rsidP="004E39E9"/>
        </w:tc>
      </w:tr>
    </w:tbl>
    <w:p w:rsidR="009E7EEB" w:rsidRDefault="009E7EEB"/>
    <w:p w:rsidR="009E7EEB" w:rsidRDefault="009E7EEB"/>
    <w:p w:rsidR="009E7EEB" w:rsidRDefault="009E7EEB"/>
    <w:sectPr w:rsidR="009E7EEB" w:rsidSect="009D703D">
      <w:pgSz w:w="12240" w:h="15840"/>
      <w:pgMar w:top="45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13EB4"/>
    <w:multiLevelType w:val="hybridMultilevel"/>
    <w:tmpl w:val="21484F40"/>
    <w:lvl w:ilvl="0" w:tplc="4CF273E8">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6A43C3"/>
    <w:multiLevelType w:val="hybridMultilevel"/>
    <w:tmpl w:val="B1B88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665D93"/>
    <w:multiLevelType w:val="hybridMultilevel"/>
    <w:tmpl w:val="ED823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870BE3"/>
    <w:multiLevelType w:val="hybridMultilevel"/>
    <w:tmpl w:val="6BDA0668"/>
    <w:lvl w:ilvl="0" w:tplc="F2381218">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EEB"/>
    <w:rsid w:val="000529F4"/>
    <w:rsid w:val="000849F2"/>
    <w:rsid w:val="00171AF8"/>
    <w:rsid w:val="00254C33"/>
    <w:rsid w:val="00263881"/>
    <w:rsid w:val="00297AA7"/>
    <w:rsid w:val="002D3D25"/>
    <w:rsid w:val="002D682C"/>
    <w:rsid w:val="00346CE8"/>
    <w:rsid w:val="003820EC"/>
    <w:rsid w:val="00396089"/>
    <w:rsid w:val="003B7DD6"/>
    <w:rsid w:val="00592F22"/>
    <w:rsid w:val="005B500B"/>
    <w:rsid w:val="00642C21"/>
    <w:rsid w:val="00692887"/>
    <w:rsid w:val="00700C18"/>
    <w:rsid w:val="007C2654"/>
    <w:rsid w:val="00843056"/>
    <w:rsid w:val="00867916"/>
    <w:rsid w:val="008A61AC"/>
    <w:rsid w:val="009D703D"/>
    <w:rsid w:val="009E7EEB"/>
    <w:rsid w:val="00A326BF"/>
    <w:rsid w:val="00B2209B"/>
    <w:rsid w:val="00BA34BB"/>
    <w:rsid w:val="00BE4F39"/>
    <w:rsid w:val="00BF03F4"/>
    <w:rsid w:val="00C025BC"/>
    <w:rsid w:val="00C50D1C"/>
    <w:rsid w:val="00CC0300"/>
    <w:rsid w:val="00CC6EC6"/>
    <w:rsid w:val="00D7200F"/>
    <w:rsid w:val="00E1032D"/>
    <w:rsid w:val="00EA18D1"/>
    <w:rsid w:val="00EC64EC"/>
    <w:rsid w:val="00ED60C6"/>
    <w:rsid w:val="00F33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7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E7EEB"/>
    <w:rPr>
      <w:color w:val="0000FF" w:themeColor="hyperlink"/>
      <w:u w:val="single"/>
    </w:rPr>
  </w:style>
  <w:style w:type="paragraph" w:styleId="ListParagraph">
    <w:name w:val="List Paragraph"/>
    <w:basedOn w:val="Normal"/>
    <w:uiPriority w:val="34"/>
    <w:qFormat/>
    <w:rsid w:val="003820EC"/>
    <w:pPr>
      <w:ind w:left="720"/>
      <w:contextualSpacing/>
    </w:pPr>
  </w:style>
  <w:style w:type="paragraph" w:styleId="BalloonText">
    <w:name w:val="Balloon Text"/>
    <w:basedOn w:val="Normal"/>
    <w:link w:val="BalloonTextChar"/>
    <w:uiPriority w:val="99"/>
    <w:semiHidden/>
    <w:unhideWhenUsed/>
    <w:rsid w:val="00C50D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D1C"/>
    <w:rPr>
      <w:rFonts w:ascii="Tahoma" w:hAnsi="Tahoma" w:cs="Tahoma"/>
      <w:sz w:val="16"/>
      <w:szCs w:val="16"/>
    </w:rPr>
  </w:style>
  <w:style w:type="character" w:styleId="FollowedHyperlink">
    <w:name w:val="FollowedHyperlink"/>
    <w:basedOn w:val="DefaultParagraphFont"/>
    <w:uiPriority w:val="99"/>
    <w:semiHidden/>
    <w:unhideWhenUsed/>
    <w:rsid w:val="008A61A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7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E7EEB"/>
    <w:rPr>
      <w:color w:val="0000FF" w:themeColor="hyperlink"/>
      <w:u w:val="single"/>
    </w:rPr>
  </w:style>
  <w:style w:type="paragraph" w:styleId="ListParagraph">
    <w:name w:val="List Paragraph"/>
    <w:basedOn w:val="Normal"/>
    <w:uiPriority w:val="34"/>
    <w:qFormat/>
    <w:rsid w:val="003820EC"/>
    <w:pPr>
      <w:ind w:left="720"/>
      <w:contextualSpacing/>
    </w:pPr>
  </w:style>
  <w:style w:type="paragraph" w:styleId="BalloonText">
    <w:name w:val="Balloon Text"/>
    <w:basedOn w:val="Normal"/>
    <w:link w:val="BalloonTextChar"/>
    <w:uiPriority w:val="99"/>
    <w:semiHidden/>
    <w:unhideWhenUsed/>
    <w:rsid w:val="00C50D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D1C"/>
    <w:rPr>
      <w:rFonts w:ascii="Tahoma" w:hAnsi="Tahoma" w:cs="Tahoma"/>
      <w:sz w:val="16"/>
      <w:szCs w:val="16"/>
    </w:rPr>
  </w:style>
  <w:style w:type="character" w:styleId="FollowedHyperlink">
    <w:name w:val="FollowedHyperlink"/>
    <w:basedOn w:val="DefaultParagraphFont"/>
    <w:uiPriority w:val="99"/>
    <w:semiHidden/>
    <w:unhideWhenUsed/>
    <w:rsid w:val="008A61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leg.wa.gov/billsummary?BillNumber=1633&amp;Year=2017" TargetMode="External"/><Relationship Id="rId13" Type="http://schemas.openxmlformats.org/officeDocument/2006/relationships/hyperlink" Target="http://app.leg.wa.gov/billsummary?BillNumber=1570&amp;Year=2017"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apps.leg.wa.gov/billinfo/" TargetMode="External"/><Relationship Id="rId12" Type="http://schemas.openxmlformats.org/officeDocument/2006/relationships/hyperlink" Target="http://app.leg.wa.gov/billsummary?BillNumber=5015&amp;Year=201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app.leg.wa.gov/billsummary?BillNumber=6400&amp;Chamber=Senate&amp;Year=2017"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app.leg.wa.gov/billsummary?BillNumber=1635&amp;Chamber=House&amp;Year=2017" TargetMode="External"/><Relationship Id="rId5" Type="http://schemas.openxmlformats.org/officeDocument/2006/relationships/webSettings" Target="webSettings.xml"/><Relationship Id="rId15" Type="http://schemas.openxmlformats.org/officeDocument/2006/relationships/hyperlink" Target="http://app.leg.wa.gov/billsummary?BillNumber=2583&amp;Year=2017" TargetMode="External"/><Relationship Id="rId10" Type="http://schemas.openxmlformats.org/officeDocument/2006/relationships/hyperlink" Target="http://app.leg.wa.gov/billsummary?BillNumber=5408&amp;Year=2017" TargetMode="External"/><Relationship Id="rId4" Type="http://schemas.openxmlformats.org/officeDocument/2006/relationships/settings" Target="settings.xml"/><Relationship Id="rId9" Type="http://schemas.openxmlformats.org/officeDocument/2006/relationships/hyperlink" Target="http://app.leg.wa.gov/billsummary?BillNumber=1305&amp;Chamber=House&amp;Year=2017" TargetMode="External"/><Relationship Id="rId14" Type="http://schemas.openxmlformats.org/officeDocument/2006/relationships/hyperlink" Target="http://app.leg.wa.gov/billsummary?BillNumber=5569&amp;Year=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cp:revision>
  <cp:lastPrinted>2018-01-11T18:24:00Z</cp:lastPrinted>
  <dcterms:created xsi:type="dcterms:W3CDTF">2018-02-24T00:04:00Z</dcterms:created>
  <dcterms:modified xsi:type="dcterms:W3CDTF">2018-02-24T00:04:00Z</dcterms:modified>
</cp:coreProperties>
</file>